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964939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14722F" w:rsidRDefault="001C5FDC" w:rsidP="0014722F">
      <w:pPr>
        <w:pStyle w:val="Akapitzlist"/>
        <w:spacing w:line="288" w:lineRule="auto"/>
        <w:ind w:left="426"/>
        <w:jc w:val="both"/>
        <w:rPr>
          <w:b/>
        </w:rPr>
      </w:pPr>
      <w:r w:rsidRPr="005974CB">
        <w:rPr>
          <w:rFonts w:cs="Arial"/>
          <w:bCs/>
          <w:szCs w:val="22"/>
        </w:rPr>
        <w:t xml:space="preserve">Przedmiotem zamówienia jest </w:t>
      </w:r>
      <w:r w:rsidR="0014722F">
        <w:rPr>
          <w:b/>
        </w:rPr>
        <w:t xml:space="preserve">Wykonanie robót budowlano-montażowych dla zadania pn. </w:t>
      </w:r>
      <w:r w:rsidR="0014722F" w:rsidRPr="00A615CF">
        <w:rPr>
          <w:b/>
          <w:szCs w:val="22"/>
        </w:rPr>
        <w:t>„Budowa obiektu małej architektury – otwarta strefa aktywności Wierchy</w:t>
      </w:r>
      <w:r w:rsidR="0014722F" w:rsidRPr="00A615CF">
        <w:rPr>
          <w:rFonts w:eastAsiaTheme="minorHAnsi"/>
          <w:b/>
          <w:szCs w:val="22"/>
        </w:rPr>
        <w:t>”</w:t>
      </w:r>
      <w:r w:rsidR="0014722F">
        <w:rPr>
          <w:b/>
        </w:rPr>
        <w:t>.</w:t>
      </w:r>
    </w:p>
    <w:p w:rsidR="001C5FDC" w:rsidRDefault="001C5FDC" w:rsidP="001C5FDC">
      <w:pPr>
        <w:widowControl/>
        <w:spacing w:line="276" w:lineRule="auto"/>
        <w:rPr>
          <w:rFonts w:cs="Arial"/>
          <w:bCs/>
          <w:sz w:val="22"/>
          <w:szCs w:val="22"/>
        </w:rPr>
      </w:pPr>
    </w:p>
    <w:p w:rsidR="00964939" w:rsidRPr="0014722F" w:rsidRDefault="001C5FDC" w:rsidP="0014722F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C5FDC">
        <w:rPr>
          <w:b/>
        </w:rPr>
        <w:t>Zakres przedmiotu zamówienia: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>Dostawa i montaż krzesła do ściągania i wyciskania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>Dostawa i montaż ślizgów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>Dostawa i montaż jeźdźca konnego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>Dostawa i montaż wioślarza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 xml:space="preserve">Dostawa i montaż </w:t>
      </w:r>
      <w:proofErr w:type="spellStart"/>
      <w:r w:rsidRPr="0014722F">
        <w:t>orbitreka</w:t>
      </w:r>
      <w:proofErr w:type="spellEnd"/>
      <w:r w:rsidRPr="0014722F">
        <w:t xml:space="preserve">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>Dostawa i montaż narciarza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 xml:space="preserve">Dostawa i montaż betonowego stolika do gry w </w:t>
      </w:r>
      <w:proofErr w:type="spellStart"/>
      <w:r w:rsidRPr="0014722F">
        <w:t>piłkarzyki</w:t>
      </w:r>
      <w:proofErr w:type="spellEnd"/>
      <w:r w:rsidRPr="0014722F">
        <w:t xml:space="preserve">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>Dostawa i montaż stolika do gry w szachy –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</w:pPr>
      <w:r w:rsidRPr="0014722F">
        <w:t>Dostawa betonowego kosza na śmieci</w:t>
      </w:r>
      <w:r w:rsidR="00CA7CDA">
        <w:t xml:space="preserve"> (40l)</w:t>
      </w:r>
      <w:r w:rsidRPr="0014722F">
        <w:t xml:space="preserve"> – 2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  <w:rPr>
          <w:rFonts w:eastAsia="Cambria"/>
        </w:rPr>
      </w:pPr>
      <w:r w:rsidRPr="0014722F">
        <w:t>Dostawa i montaż ławki rekreacyjnej o konstrukcji betonowej – 4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  <w:rPr>
          <w:rFonts w:eastAsia="Cambria"/>
        </w:rPr>
      </w:pPr>
      <w:r w:rsidRPr="0014722F">
        <w:rPr>
          <w:color w:val="auto"/>
        </w:rPr>
        <w:t xml:space="preserve">Dostawa kwietnika </w:t>
      </w:r>
      <w:r w:rsidRPr="0014722F">
        <w:t>z klonem kulisty</w:t>
      </w:r>
      <w:r w:rsidR="001A71A6">
        <w:t xml:space="preserve">m </w:t>
      </w:r>
      <w:r w:rsidR="001A71A6" w:rsidRPr="0014722F">
        <w:t>–</w:t>
      </w:r>
      <w:r w:rsidRPr="0014722F">
        <w:t xml:space="preserve"> 1 szt.</w:t>
      </w:r>
    </w:p>
    <w:p w:rsidR="0014722F" w:rsidRPr="0014722F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  <w:rPr>
          <w:rFonts w:eastAsia="Cambria"/>
          <w:color w:val="auto"/>
        </w:rPr>
      </w:pPr>
      <w:r w:rsidRPr="0014722F">
        <w:t>W</w:t>
      </w:r>
      <w:r>
        <w:t xml:space="preserve">ykonanie </w:t>
      </w:r>
      <w:proofErr w:type="spellStart"/>
      <w:r>
        <w:t>nasadzeń</w:t>
      </w:r>
      <w:proofErr w:type="spellEnd"/>
      <w:r>
        <w:t>: jałowiec kolu</w:t>
      </w:r>
      <w:r w:rsidRPr="0014722F">
        <w:t>mnowy (</w:t>
      </w:r>
      <w:proofErr w:type="spellStart"/>
      <w:r w:rsidRPr="0014722F">
        <w:t>blue</w:t>
      </w:r>
      <w:proofErr w:type="spellEnd"/>
      <w:r w:rsidRPr="0014722F">
        <w:t xml:space="preserve"> </w:t>
      </w:r>
      <w:proofErr w:type="spellStart"/>
      <w:r w:rsidRPr="0014722F">
        <w:t>arrow</w:t>
      </w:r>
      <w:proofErr w:type="spellEnd"/>
      <w:r w:rsidRPr="0014722F">
        <w:t xml:space="preserve"> – 2 szt.; </w:t>
      </w:r>
      <w:proofErr w:type="spellStart"/>
      <w:r w:rsidRPr="0014722F">
        <w:t>skyrocket</w:t>
      </w:r>
      <w:proofErr w:type="spellEnd"/>
      <w:r w:rsidRPr="0014722F">
        <w:t xml:space="preserve"> – 4 szt.)</w:t>
      </w:r>
    </w:p>
    <w:p w:rsidR="0014722F" w:rsidRPr="00CA7CDA" w:rsidRDefault="0014722F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  <w:rPr>
          <w:rFonts w:eastAsia="Cambria"/>
          <w:color w:val="auto"/>
        </w:rPr>
      </w:pPr>
      <w:r w:rsidRPr="0014722F">
        <w:rPr>
          <w:rFonts w:eastAsia="Cambria"/>
          <w:color w:val="auto"/>
        </w:rPr>
        <w:t xml:space="preserve">Wykonanie nawierzchni z </w:t>
      </w:r>
      <w:proofErr w:type="spellStart"/>
      <w:r w:rsidRPr="0014722F">
        <w:rPr>
          <w:rFonts w:eastAsia="Cambria"/>
          <w:color w:val="auto"/>
        </w:rPr>
        <w:t>eko</w:t>
      </w:r>
      <w:proofErr w:type="spellEnd"/>
      <w:r w:rsidRPr="0014722F">
        <w:rPr>
          <w:rFonts w:eastAsia="Cambria"/>
          <w:color w:val="auto"/>
        </w:rPr>
        <w:t xml:space="preserve"> kraty – 1</w:t>
      </w:r>
      <w:r w:rsidRPr="0014722F">
        <w:rPr>
          <w:rFonts w:eastAsia="Cambria"/>
        </w:rPr>
        <w:t>74</w:t>
      </w:r>
      <w:r w:rsidRPr="0014722F">
        <w:rPr>
          <w:rFonts w:eastAsia="Cambria"/>
          <w:color w:val="auto"/>
        </w:rPr>
        <w:t xml:space="preserve"> m</w:t>
      </w:r>
      <w:r w:rsidRPr="0014722F">
        <w:rPr>
          <w:rFonts w:eastAsia="Cambria"/>
          <w:color w:val="auto"/>
          <w:vertAlign w:val="superscript"/>
        </w:rPr>
        <w:t>2</w:t>
      </w:r>
    </w:p>
    <w:p w:rsidR="00CA7CDA" w:rsidRPr="0014722F" w:rsidRDefault="00CA7CDA" w:rsidP="0014722F">
      <w:pPr>
        <w:pStyle w:val="Akapitzlist"/>
        <w:widowControl/>
        <w:numPr>
          <w:ilvl w:val="0"/>
          <w:numId w:val="8"/>
        </w:numPr>
        <w:suppressAutoHyphens w:val="0"/>
        <w:spacing w:line="259" w:lineRule="auto"/>
        <w:ind w:left="851"/>
        <w:jc w:val="both"/>
        <w:rPr>
          <w:rFonts w:eastAsia="Cambria"/>
          <w:color w:val="auto"/>
        </w:rPr>
      </w:pPr>
      <w:r w:rsidRPr="00CA7CDA">
        <w:rPr>
          <w:rFonts w:eastAsia="Cambria"/>
          <w:color w:val="auto"/>
        </w:rPr>
        <w:t>Dostawa i montaż tablicy informacyjnej o wym</w:t>
      </w:r>
      <w:r>
        <w:rPr>
          <w:rFonts w:eastAsia="Cambria"/>
          <w:color w:val="auto"/>
        </w:rPr>
        <w:t>.</w:t>
      </w:r>
      <w:r w:rsidRPr="00CA7CDA">
        <w:rPr>
          <w:rFonts w:eastAsia="Cambria"/>
          <w:color w:val="auto"/>
        </w:rPr>
        <w:t xml:space="preserve"> 60x80cm</w:t>
      </w:r>
      <w:r>
        <w:rPr>
          <w:rFonts w:eastAsia="Cambria"/>
          <w:color w:val="auto"/>
        </w:rPr>
        <w:t xml:space="preserve"> na słupku stalowym</w:t>
      </w:r>
      <w:r w:rsidR="00A01421">
        <w:rPr>
          <w:rFonts w:eastAsia="Cambria"/>
          <w:color w:val="auto"/>
        </w:rPr>
        <w:t xml:space="preserve"> zgodnie z wytycznymi OSA 2019 dostępnymi na stronie MSiT</w:t>
      </w:r>
    </w:p>
    <w:p w:rsidR="00D37648" w:rsidRDefault="0014722F" w:rsidP="0014722F">
      <w:pPr>
        <w:ind w:left="426"/>
      </w:pPr>
      <w:r>
        <w:t>Szczegółowy opis techniczny urządzeń znajduje się w dokumentacji projektowej – zgłoszenie budowy.</w:t>
      </w:r>
    </w:p>
    <w:p w:rsidR="0014722F" w:rsidRDefault="0014722F" w:rsidP="0014722F">
      <w:pPr>
        <w:ind w:left="426"/>
      </w:pPr>
    </w:p>
    <w:p w:rsidR="00D37648" w:rsidRPr="001B1541" w:rsidRDefault="00D37648" w:rsidP="00D37648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D37648">
      <w:pPr>
        <w:pStyle w:val="Akapitzlist"/>
        <w:ind w:left="284"/>
      </w:pPr>
    </w:p>
    <w:p w:rsidR="00D37648" w:rsidRDefault="00D37648" w:rsidP="00D37648">
      <w:pPr>
        <w:pStyle w:val="Akapitzlist"/>
        <w:numPr>
          <w:ilvl w:val="1"/>
          <w:numId w:val="1"/>
        </w:numPr>
        <w:ind w:hanging="567"/>
      </w:pPr>
      <w:r>
        <w:t xml:space="preserve">Przedmiot zamówienia należy </w:t>
      </w:r>
      <w:r w:rsidR="0014722F">
        <w:t>wykonać</w:t>
      </w:r>
      <w:r>
        <w:t xml:space="preserve">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D37648">
      <w:pPr>
        <w:pStyle w:val="Akapitzlist"/>
        <w:ind w:left="851"/>
      </w:pP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7 lipca 1994r prawo budowlane (Dz. U. z 201</w:t>
      </w:r>
      <w:r w:rsidR="00615013">
        <w:t>8</w:t>
      </w:r>
      <w:r>
        <w:t xml:space="preserve">r poz. </w:t>
      </w:r>
      <w:r w:rsidR="00615013">
        <w:t xml:space="preserve">1202 z </w:t>
      </w:r>
      <w:proofErr w:type="spellStart"/>
      <w:r w:rsidR="00615013">
        <w:t>późn</w:t>
      </w:r>
      <w:proofErr w:type="spellEnd"/>
      <w:r w:rsidR="00615013">
        <w:t>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16 kwietnia 2004r o wyrobach budowlanych (Dz. U. Nr </w:t>
      </w:r>
      <w:r w:rsidR="00615013">
        <w:t>2019r</w:t>
      </w:r>
      <w:r>
        <w:t xml:space="preserve"> poz. </w:t>
      </w:r>
      <w:r w:rsidR="00615013">
        <w:t>266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>Ustawa z dnia 27 marca 2003r o planowaniu i zagospodarowaniu przestrzennym (Dz. U. z 201</w:t>
      </w:r>
      <w:r w:rsidR="00615013">
        <w:t>8</w:t>
      </w:r>
      <w:r>
        <w:t>r poz. 19</w:t>
      </w:r>
      <w:r w:rsidR="00615013">
        <w:t>45</w:t>
      </w:r>
      <w:r>
        <w:t>)</w:t>
      </w:r>
    </w:p>
    <w:p w:rsidR="00093DDD" w:rsidRDefault="00093DDD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Ustawa z dnia </w:t>
      </w:r>
      <w:r w:rsidR="00615013">
        <w:t>20</w:t>
      </w:r>
      <w:r>
        <w:t xml:space="preserve"> lipca 20</w:t>
      </w:r>
      <w:r w:rsidR="00615013">
        <w:t>17</w:t>
      </w:r>
      <w:r>
        <w:t>r prawo wodne (Dz. U. z 201</w:t>
      </w:r>
      <w:r w:rsidR="00615013">
        <w:t>7</w:t>
      </w:r>
      <w:r>
        <w:t xml:space="preserve">r poz. </w:t>
      </w:r>
      <w:r w:rsidR="00615013">
        <w:t>1566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lastRenderedPageBreak/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>
        <w:t xml:space="preserve">Rozporządzenie Ministra Transportu i Gospodarki Morskiej z dnia 2 marca 1999r w sprawie warunków technicznych, jakim powinny odpowiadać drogi 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D37648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DE26AC">
      <w:pPr>
        <w:pStyle w:val="Akapitzlist"/>
        <w:ind w:left="1701"/>
      </w:pPr>
    </w:p>
    <w:p w:rsidR="001C5FDC" w:rsidRPr="00DE26AC" w:rsidRDefault="00DE26AC" w:rsidP="00DE26AC">
      <w:pPr>
        <w:pStyle w:val="Akapitzlist"/>
        <w:numPr>
          <w:ilvl w:val="1"/>
          <w:numId w:val="1"/>
        </w:numPr>
        <w:ind w:hanging="567"/>
        <w:rPr>
          <w:b/>
        </w:rPr>
      </w:pPr>
      <w:r>
        <w:t>Przedmiot zamówienia winien być wykonany zgodnie z zasadami wiedzy technicznej.</w:t>
      </w:r>
    </w:p>
    <w:p w:rsidR="007C55B7" w:rsidRPr="007C55B7" w:rsidRDefault="007C55B7" w:rsidP="007C55B7">
      <w:pPr>
        <w:pStyle w:val="Akapitzlist"/>
        <w:ind w:left="851"/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b/>
        </w:rPr>
      </w:pPr>
      <w:r w:rsidRPr="007C55B7">
        <w:rPr>
          <w:b/>
        </w:rPr>
        <w:t>Forma przekazania</w:t>
      </w:r>
    </w:p>
    <w:p w:rsidR="007C55B7" w:rsidRDefault="007C55B7" w:rsidP="007C55B7">
      <w:pPr>
        <w:pStyle w:val="Akapitzlist"/>
        <w:ind w:left="284"/>
      </w:pPr>
    </w:p>
    <w:p w:rsidR="00913034" w:rsidRDefault="0014722F" w:rsidP="007C55B7">
      <w:pPr>
        <w:pStyle w:val="Akapitzlist"/>
        <w:numPr>
          <w:ilvl w:val="1"/>
          <w:numId w:val="1"/>
        </w:numPr>
        <w:ind w:hanging="567"/>
      </w:pPr>
      <w:r>
        <w:t xml:space="preserve">Po wykonaniu przedmiotu zamówienia, Wykonawca zgłosi w formie pisemnej zakończenie robót budowlano </w:t>
      </w:r>
      <w:r w:rsidR="00D36A17">
        <w:t xml:space="preserve">- </w:t>
      </w:r>
      <w:r>
        <w:t xml:space="preserve">montażowych wraz </w:t>
      </w:r>
      <w:r w:rsidR="00C8398C">
        <w:t xml:space="preserve">z </w:t>
      </w:r>
      <w:bookmarkStart w:id="0" w:name="_GoBack"/>
      <w:bookmarkEnd w:id="0"/>
      <w:r>
        <w:t>oświadczeniem o uporządkowaniu terenu budowy</w:t>
      </w:r>
    </w:p>
    <w:p w:rsidR="007C55B7" w:rsidRPr="00093DDD" w:rsidRDefault="007C55B7" w:rsidP="00093DDD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0"/>
          <w:numId w:val="1"/>
        </w:numPr>
        <w:ind w:left="284" w:hanging="284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7C55B7">
      <w:pPr>
        <w:rPr>
          <w:rFonts w:cs="Arial"/>
          <w:szCs w:val="22"/>
        </w:rPr>
      </w:pPr>
    </w:p>
    <w:p w:rsidR="007C55B7" w:rsidRPr="007C55B7" w:rsidRDefault="007C55B7" w:rsidP="007C55B7">
      <w:pPr>
        <w:pStyle w:val="Akapitzlist"/>
        <w:numPr>
          <w:ilvl w:val="1"/>
          <w:numId w:val="1"/>
        </w:numPr>
        <w:ind w:hanging="567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2FA2352"/>
    <w:multiLevelType w:val="hybridMultilevel"/>
    <w:tmpl w:val="2C38BDFA"/>
    <w:lvl w:ilvl="0" w:tplc="A6C8B6DE">
      <w:start w:val="1"/>
      <w:numFmt w:val="bullet"/>
      <w:lvlText w:val=""/>
      <w:lvlJc w:val="left"/>
      <w:pPr>
        <w:ind w:left="19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22E19"/>
    <w:multiLevelType w:val="hybridMultilevel"/>
    <w:tmpl w:val="5A025DE2"/>
    <w:lvl w:ilvl="0" w:tplc="2D86CF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6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93DDD"/>
    <w:rsid w:val="0014722F"/>
    <w:rsid w:val="001A71A6"/>
    <w:rsid w:val="001B1541"/>
    <w:rsid w:val="001C5FDC"/>
    <w:rsid w:val="0020033B"/>
    <w:rsid w:val="00213D17"/>
    <w:rsid w:val="003A2CE7"/>
    <w:rsid w:val="003B2035"/>
    <w:rsid w:val="004435B2"/>
    <w:rsid w:val="00462060"/>
    <w:rsid w:val="005974CB"/>
    <w:rsid w:val="00615013"/>
    <w:rsid w:val="006847E1"/>
    <w:rsid w:val="006C3D73"/>
    <w:rsid w:val="007C55B7"/>
    <w:rsid w:val="00812448"/>
    <w:rsid w:val="00845C90"/>
    <w:rsid w:val="00853E2B"/>
    <w:rsid w:val="00913034"/>
    <w:rsid w:val="0091617B"/>
    <w:rsid w:val="00964939"/>
    <w:rsid w:val="0096759F"/>
    <w:rsid w:val="009B4A5D"/>
    <w:rsid w:val="009F5955"/>
    <w:rsid w:val="00A01421"/>
    <w:rsid w:val="00AE7835"/>
    <w:rsid w:val="00B007C8"/>
    <w:rsid w:val="00B45814"/>
    <w:rsid w:val="00B7409D"/>
    <w:rsid w:val="00B93508"/>
    <w:rsid w:val="00C56F53"/>
    <w:rsid w:val="00C60951"/>
    <w:rsid w:val="00C8398C"/>
    <w:rsid w:val="00CA7CDA"/>
    <w:rsid w:val="00D36A17"/>
    <w:rsid w:val="00D37648"/>
    <w:rsid w:val="00D44C65"/>
    <w:rsid w:val="00D55EBD"/>
    <w:rsid w:val="00D85608"/>
    <w:rsid w:val="00DE26AC"/>
    <w:rsid w:val="00E53112"/>
    <w:rsid w:val="00E72A15"/>
    <w:rsid w:val="00EA5F7A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aliases w:val="Preambuła,Wypunktowanie"/>
    <w:basedOn w:val="Normalny"/>
    <w:link w:val="AkapitzlistZnak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Preambuła Znak,Wypunktowanie Znak"/>
    <w:link w:val="Akapitzlist"/>
    <w:uiPriority w:val="34"/>
    <w:qFormat/>
    <w:locked/>
    <w:rsid w:val="0014722F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512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Marek Stabryła</cp:lastModifiedBy>
  <cp:revision>35</cp:revision>
  <cp:lastPrinted>2016-12-05T09:46:00Z</cp:lastPrinted>
  <dcterms:created xsi:type="dcterms:W3CDTF">2016-03-25T10:06:00Z</dcterms:created>
  <dcterms:modified xsi:type="dcterms:W3CDTF">2019-07-17T06:02:00Z</dcterms:modified>
</cp:coreProperties>
</file>